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12s7b7ipc8xf" w:id="0"/>
      <w:bookmarkEnd w:id="0"/>
      <w:r w:rsidDel="00000000" w:rsidR="00000000" w:rsidRPr="00000000">
        <w:rPr>
          <w:rtl w:val="0"/>
        </w:rPr>
        <w:t xml:space="preserve">El contra-informe profesional</w:t>
      </w:r>
    </w:p>
    <w:p w:rsidR="00000000" w:rsidDel="00000000" w:rsidP="00000000" w:rsidRDefault="00000000" w:rsidRPr="00000000" w14:paraId="00000002">
      <w:pPr>
        <w:pStyle w:val="Subtitle"/>
        <w:rPr/>
      </w:pPr>
      <w:bookmarkStart w:colFirst="0" w:colLast="0" w:name="_heading=h.1rn5woo5u5yz" w:id="1"/>
      <w:bookmarkEnd w:id="1"/>
      <w:r w:rsidDel="00000000" w:rsidR="00000000" w:rsidRPr="00000000">
        <w:rPr>
          <w:rtl w:val="0"/>
        </w:rPr>
        <w:t xml:space="preserve">Ficheros editables</w:t>
      </w:r>
    </w:p>
    <w:p w:rsidR="00000000" w:rsidDel="00000000" w:rsidP="00000000" w:rsidRDefault="00000000" w:rsidRPr="00000000" w14:paraId="00000003">
      <w:pPr>
        <w:rPr>
          <w:color w:val="073763"/>
        </w:rPr>
      </w:pPr>
      <w:r w:rsidDel="00000000" w:rsidR="00000000" w:rsidRPr="00000000">
        <w:rPr>
          <w:rtl w:val="0"/>
        </w:rPr>
      </w:r>
    </w:p>
    <w:sdt>
      <w:sdtPr>
        <w:id w:val="1802047047"/>
        <w:docPartObj>
          <w:docPartGallery w:val="Table of Contents"/>
          <w:docPartUnique w:val="1"/>
        </w:docPartObj>
      </w:sdtPr>
      <w:sdtContent>
        <w:p w:rsidR="00000000" w:rsidDel="00000000" w:rsidP="00000000" w:rsidRDefault="00000000" w:rsidRPr="00000000" w14:paraId="00000004">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5ffbw7bvoi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Material de estudio. La hiperonimia</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8zjsp5n6s6u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Material de estudio. Breves apuntes sobre la cohesión</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l7caj8g3969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Lista de cotejo</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biuh745bm9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 informe profesional</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8">
      <w:pPr>
        <w:rPr>
          <w:color w:val="073763"/>
        </w:rPr>
      </w:pP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pBdr>
          <w:bottom w:color="919191" w:space="0" w:sz="8" w:val="single"/>
        </w:pBdr>
        <w:spacing w:after="240" w:before="240" w:line="276" w:lineRule="auto"/>
        <w:jc w:val="both"/>
        <w:rPr>
          <w:rFonts w:ascii="Arial" w:cs="Arial" w:eastAsia="Arial" w:hAnsi="Arial"/>
          <w:sz w:val="22"/>
          <w:szCs w:val="22"/>
        </w:rPr>
      </w:pPr>
      <w:bookmarkStart w:colFirst="0" w:colLast="0" w:name="_heading=h.5ffbw7bvoii7" w:id="2"/>
      <w:bookmarkEnd w:id="2"/>
      <w:r w:rsidDel="00000000" w:rsidR="00000000" w:rsidRPr="00000000">
        <w:rPr>
          <w:rtl w:val="0"/>
        </w:rPr>
        <w:t xml:space="preserve">Material de estudio. La hiperonimia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Un hiperónimo es una palabra cuyo significado engloba a otras. Veamos un ejemplo: flor es el hiperónimo de margarita, lirio, rosa, azucena. La relación inversa se denomina hiponimia. Por tanto, margarita, lirio, rosa, azucena serán hipónimos de flor. </w:t>
      </w:r>
    </w:p>
    <w:p w:rsidR="00000000" w:rsidDel="00000000" w:rsidP="00000000" w:rsidRDefault="00000000" w:rsidRPr="00000000" w14:paraId="0000000C">
      <w:pPr>
        <w:rPr/>
      </w:pPr>
      <w:r w:rsidDel="00000000" w:rsidR="00000000" w:rsidRPr="00000000">
        <w:rPr>
          <w:rtl w:val="0"/>
        </w:rPr>
        <w:t xml:space="preserve">Por tanto, al hiperónimo se le conoce como “término paraguas”, es decir, una palabra que engloba en su significado a muchas más. Veamos los siguientes ejemplos:</w:t>
      </w:r>
    </w:p>
    <w:p w:rsidR="00000000" w:rsidDel="00000000" w:rsidP="00000000" w:rsidRDefault="00000000" w:rsidRPr="00000000" w14:paraId="0000000D">
      <w:pPr>
        <w:rPr/>
      </w:pPr>
      <w:r w:rsidDel="00000000" w:rsidR="00000000" w:rsidRPr="00000000">
        <w:rPr>
          <w:rtl w:val="0"/>
        </w:rPr>
        <w:t xml:space="preserve">Mira los siguientes ejemplos de hiperonimia de diferentes ámbitos</w:t>
      </w:r>
    </w:p>
    <w:p w:rsidR="00000000" w:rsidDel="00000000" w:rsidP="00000000" w:rsidRDefault="00000000" w:rsidRPr="00000000" w14:paraId="0000000E">
      <w:pPr>
        <w:ind w:left="0" w:firstLine="0"/>
        <w:rPr/>
      </w:pPr>
      <w:r w:rsidDel="00000000" w:rsidR="00000000" w:rsidRPr="00000000">
        <w:rPr>
          <w:rtl w:val="0"/>
        </w:rPr>
        <w:t xml:space="preserve">1. Ámbito de la salud</w:t>
      </w:r>
    </w:p>
    <w:p w:rsidR="00000000" w:rsidDel="00000000" w:rsidP="00000000" w:rsidRDefault="00000000" w:rsidRPr="00000000" w14:paraId="0000000F">
      <w:pPr>
        <w:numPr>
          <w:ilvl w:val="0"/>
          <w:numId w:val="5"/>
        </w:numPr>
        <w:spacing w:after="0" w:afterAutospacing="0"/>
        <w:ind w:left="720" w:hanging="360"/>
        <w:rPr>
          <w:u w:val="none"/>
        </w:rPr>
      </w:pPr>
      <w:r w:rsidDel="00000000" w:rsidR="00000000" w:rsidRPr="00000000">
        <w:rPr>
          <w:rtl w:val="0"/>
        </w:rPr>
        <w:t xml:space="preserve">Hiperónimo: enfermedad (o patología)</w:t>
      </w:r>
    </w:p>
    <w:p w:rsidR="00000000" w:rsidDel="00000000" w:rsidP="00000000" w:rsidRDefault="00000000" w:rsidRPr="00000000" w14:paraId="00000010">
      <w:pPr>
        <w:numPr>
          <w:ilvl w:val="0"/>
          <w:numId w:val="5"/>
        </w:numPr>
        <w:spacing w:after="0" w:afterAutospacing="0" w:before="0" w:beforeAutospacing="0"/>
        <w:ind w:left="720" w:hanging="360"/>
        <w:rPr>
          <w:u w:val="none"/>
        </w:rPr>
      </w:pPr>
      <w:r w:rsidDel="00000000" w:rsidR="00000000" w:rsidRPr="00000000">
        <w:rPr>
          <w:rtl w:val="0"/>
        </w:rPr>
        <w:t xml:space="preserve">Hipónimos: gripe, neumonía, bronquitis, varicela.</w:t>
      </w:r>
    </w:p>
    <w:p w:rsidR="00000000" w:rsidDel="00000000" w:rsidP="00000000" w:rsidRDefault="00000000" w:rsidRPr="00000000" w14:paraId="00000011">
      <w:pPr>
        <w:numPr>
          <w:ilvl w:val="0"/>
          <w:numId w:val="5"/>
        </w:numPr>
        <w:spacing w:before="0" w:beforeAutospacing="0"/>
        <w:ind w:left="720" w:hanging="360"/>
        <w:rPr>
          <w:u w:val="none"/>
        </w:rPr>
      </w:pPr>
      <w:r w:rsidDel="00000000" w:rsidR="00000000" w:rsidRPr="00000000">
        <w:rPr>
          <w:rtl w:val="0"/>
        </w:rPr>
        <w:t xml:space="preserve">Cohipónimos: la gripe y la neumonía son cohipónimos entre sí (ambos son "hermanos" dentro de las enfermedades).</w:t>
      </w:r>
    </w:p>
    <w:p w:rsidR="00000000" w:rsidDel="00000000" w:rsidP="00000000" w:rsidRDefault="00000000" w:rsidRPr="00000000" w14:paraId="00000012">
      <w:pPr>
        <w:ind w:left="0" w:firstLine="0"/>
        <w:rPr/>
      </w:pPr>
      <w:r w:rsidDel="00000000" w:rsidR="00000000" w:rsidRPr="00000000">
        <w:rPr>
          <w:rtl w:val="0"/>
        </w:rPr>
        <w:t xml:space="preserve">2. Ámbito administrativo</w:t>
      </w:r>
    </w:p>
    <w:p w:rsidR="00000000" w:rsidDel="00000000" w:rsidP="00000000" w:rsidRDefault="00000000" w:rsidRPr="00000000" w14:paraId="00000013">
      <w:pPr>
        <w:numPr>
          <w:ilvl w:val="0"/>
          <w:numId w:val="6"/>
        </w:numPr>
        <w:spacing w:after="0" w:afterAutospacing="0"/>
        <w:ind w:left="720" w:hanging="360"/>
        <w:rPr>
          <w:u w:val="none"/>
        </w:rPr>
      </w:pPr>
      <w:r w:rsidDel="00000000" w:rsidR="00000000" w:rsidRPr="00000000">
        <w:rPr>
          <w:rtl w:val="0"/>
        </w:rPr>
        <w:t xml:space="preserve">Hiperónimo: documento (o trámite)</w:t>
      </w:r>
    </w:p>
    <w:p w:rsidR="00000000" w:rsidDel="00000000" w:rsidP="00000000" w:rsidRDefault="00000000" w:rsidRPr="00000000" w14:paraId="00000014">
      <w:pPr>
        <w:numPr>
          <w:ilvl w:val="0"/>
          <w:numId w:val="6"/>
        </w:numPr>
        <w:spacing w:after="0" w:afterAutospacing="0" w:before="0" w:beforeAutospacing="0"/>
        <w:ind w:left="720" w:hanging="360"/>
        <w:rPr>
          <w:u w:val="none"/>
        </w:rPr>
      </w:pPr>
      <w:r w:rsidDel="00000000" w:rsidR="00000000" w:rsidRPr="00000000">
        <w:rPr>
          <w:rtl w:val="0"/>
        </w:rPr>
        <w:t xml:space="preserve">Hipónimos: instancia, certificado, factura, solicitud.</w:t>
      </w:r>
    </w:p>
    <w:p w:rsidR="00000000" w:rsidDel="00000000" w:rsidP="00000000" w:rsidRDefault="00000000" w:rsidRPr="00000000" w14:paraId="00000015">
      <w:pPr>
        <w:numPr>
          <w:ilvl w:val="0"/>
          <w:numId w:val="6"/>
        </w:numPr>
        <w:spacing w:before="0" w:beforeAutospacing="0"/>
        <w:ind w:left="720" w:hanging="360"/>
        <w:rPr>
          <w:u w:val="none"/>
        </w:rPr>
      </w:pPr>
      <w:r w:rsidDel="00000000" w:rsidR="00000000" w:rsidRPr="00000000">
        <w:rPr>
          <w:rtl w:val="0"/>
        </w:rPr>
        <w:t xml:space="preserve">Cohipónimos: una instancia y un certificado son cohipónimos.</w:t>
      </w:r>
    </w:p>
    <w:p w:rsidR="00000000" w:rsidDel="00000000" w:rsidP="00000000" w:rsidRDefault="00000000" w:rsidRPr="00000000" w14:paraId="00000016">
      <w:pPr>
        <w:ind w:left="0" w:firstLine="0"/>
        <w:rPr/>
      </w:pPr>
      <w:r w:rsidDel="00000000" w:rsidR="00000000" w:rsidRPr="00000000">
        <w:rPr>
          <w:rtl w:val="0"/>
        </w:rPr>
        <w:t xml:space="preserve">3. Ámbito de la vivienda y suministros</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Hiperónimo: suministros</w:t>
      </w:r>
    </w:p>
    <w:p w:rsidR="00000000" w:rsidDel="00000000" w:rsidP="00000000" w:rsidRDefault="00000000" w:rsidRPr="00000000" w14:paraId="00000018">
      <w:pPr>
        <w:numPr>
          <w:ilvl w:val="0"/>
          <w:numId w:val="1"/>
        </w:numPr>
        <w:spacing w:after="0" w:afterAutospacing="0" w:before="0" w:beforeAutospacing="0"/>
        <w:ind w:left="720" w:hanging="360"/>
        <w:rPr>
          <w:u w:val="none"/>
        </w:rPr>
      </w:pPr>
      <w:r w:rsidDel="00000000" w:rsidR="00000000" w:rsidRPr="00000000">
        <w:rPr>
          <w:rtl w:val="0"/>
        </w:rPr>
        <w:t xml:space="preserve">Hipónimos: luz, agua, gas, internet.</w:t>
      </w:r>
    </w:p>
    <w:p w:rsidR="00000000" w:rsidDel="00000000" w:rsidP="00000000" w:rsidRDefault="00000000" w:rsidRPr="00000000" w14:paraId="00000019">
      <w:pPr>
        <w:numPr>
          <w:ilvl w:val="0"/>
          <w:numId w:val="1"/>
        </w:numPr>
        <w:spacing w:before="0" w:beforeAutospacing="0"/>
        <w:ind w:left="720" w:hanging="360"/>
        <w:rPr>
          <w:u w:val="none"/>
        </w:rPr>
      </w:pPr>
      <w:r w:rsidDel="00000000" w:rsidR="00000000" w:rsidRPr="00000000">
        <w:rPr>
          <w:rtl w:val="0"/>
        </w:rPr>
        <w:t xml:space="preserve">Cohipónimos: El agua y el gas son cohipónimos.</w:t>
      </w:r>
    </w:p>
    <w:p w:rsidR="00000000" w:rsidDel="00000000" w:rsidP="00000000" w:rsidRDefault="00000000" w:rsidRPr="00000000" w14:paraId="0000001A">
      <w:pPr>
        <w:ind w:left="0" w:firstLine="0"/>
        <w:rPr/>
      </w:pPr>
      <w:r w:rsidDel="00000000" w:rsidR="00000000" w:rsidRPr="00000000">
        <w:rPr>
          <w:rtl w:val="0"/>
        </w:rPr>
        <w:t xml:space="preserve">4. Ámbito de las Herramientas Digitales</w:t>
      </w:r>
    </w:p>
    <w:p w:rsidR="00000000" w:rsidDel="00000000" w:rsidP="00000000" w:rsidRDefault="00000000" w:rsidRPr="00000000" w14:paraId="0000001B">
      <w:pPr>
        <w:numPr>
          <w:ilvl w:val="0"/>
          <w:numId w:val="3"/>
        </w:numPr>
        <w:spacing w:after="0" w:afterAutospacing="0"/>
        <w:ind w:left="720" w:hanging="360"/>
        <w:rPr>
          <w:u w:val="none"/>
        </w:rPr>
      </w:pPr>
      <w:r w:rsidDel="00000000" w:rsidR="00000000" w:rsidRPr="00000000">
        <w:rPr>
          <w:rtl w:val="0"/>
        </w:rPr>
        <w:t xml:space="preserve">Hiperónimo: navegador</w:t>
      </w:r>
    </w:p>
    <w:p w:rsidR="00000000" w:rsidDel="00000000" w:rsidP="00000000" w:rsidRDefault="00000000" w:rsidRPr="00000000" w14:paraId="0000001C">
      <w:pPr>
        <w:numPr>
          <w:ilvl w:val="0"/>
          <w:numId w:val="3"/>
        </w:numPr>
        <w:spacing w:after="0" w:afterAutospacing="0" w:before="0" w:beforeAutospacing="0"/>
        <w:ind w:left="720" w:hanging="360"/>
        <w:rPr>
          <w:u w:val="none"/>
        </w:rPr>
      </w:pPr>
      <w:r w:rsidDel="00000000" w:rsidR="00000000" w:rsidRPr="00000000">
        <w:rPr>
          <w:rtl w:val="0"/>
        </w:rPr>
        <w:t xml:space="preserve">Hipónimos: Chrome, Firefox, Safari, Edge.</w:t>
      </w:r>
    </w:p>
    <w:p w:rsidR="00000000" w:rsidDel="00000000" w:rsidP="00000000" w:rsidRDefault="00000000" w:rsidRPr="00000000" w14:paraId="0000001D">
      <w:pPr>
        <w:numPr>
          <w:ilvl w:val="0"/>
          <w:numId w:val="3"/>
        </w:numPr>
        <w:spacing w:before="0" w:beforeAutospacing="0"/>
        <w:ind w:left="720" w:hanging="360"/>
        <w:rPr>
          <w:u w:val="none"/>
        </w:rPr>
      </w:pPr>
      <w:r w:rsidDel="00000000" w:rsidR="00000000" w:rsidRPr="00000000">
        <w:rPr>
          <w:rtl w:val="0"/>
        </w:rPr>
        <w:t xml:space="preserve">Cohipónimos: Chrome y Safari son cohipónimos.</w:t>
      </w:r>
    </w:p>
    <w:p w:rsidR="00000000" w:rsidDel="00000000" w:rsidP="00000000" w:rsidRDefault="00000000" w:rsidRPr="00000000" w14:paraId="0000001E">
      <w:pPr>
        <w:rPr/>
      </w:pPr>
      <w:r w:rsidDel="00000000" w:rsidR="00000000" w:rsidRPr="00000000">
        <w:rPr>
          <w:rtl w:val="0"/>
        </w:rPr>
        <w:t xml:space="preserve">Una vez comprendida la hiperonimia podemos estudiar otras relaciones entre palabras:</w:t>
      </w:r>
    </w:p>
    <w:p w:rsidR="00000000" w:rsidDel="00000000" w:rsidP="00000000" w:rsidRDefault="00000000" w:rsidRPr="00000000" w14:paraId="0000001F">
      <w:pPr>
        <w:numPr>
          <w:ilvl w:val="0"/>
          <w:numId w:val="4"/>
        </w:numPr>
        <w:spacing w:after="0" w:afterAutospacing="0"/>
        <w:ind w:left="720" w:hanging="360"/>
        <w:rPr>
          <w:u w:val="none"/>
        </w:rPr>
      </w:pPr>
      <w:r w:rsidDel="00000000" w:rsidR="00000000" w:rsidRPr="00000000">
        <w:rPr>
          <w:rtl w:val="0"/>
        </w:rPr>
        <w:t xml:space="preserve">Campo semántico: es un conjunto limitado de palabras de la misma clase gramatical (es decir, si hablamos de sustantivos, todas tendrán que ser sustantivos…) que tienen un rasgo de significado común. Por ejemplo los colores del arco iris, los días de la semana, los instrumentos musicales... Ej. Calzado: zuecos, chanclas, zapatillas, botas…</w:t>
      </w:r>
    </w:p>
    <w:p w:rsidR="00000000" w:rsidDel="00000000" w:rsidP="00000000" w:rsidRDefault="00000000" w:rsidRPr="00000000" w14:paraId="00000020">
      <w:pPr>
        <w:numPr>
          <w:ilvl w:val="0"/>
          <w:numId w:val="4"/>
        </w:numPr>
        <w:spacing w:after="0" w:afterAutospacing="0" w:before="0" w:beforeAutospacing="0"/>
        <w:ind w:left="720" w:hanging="360"/>
        <w:rPr>
          <w:u w:val="none"/>
        </w:rPr>
      </w:pPr>
      <w:r w:rsidDel="00000000" w:rsidR="00000000" w:rsidRPr="00000000">
        <w:rPr>
          <w:rtl w:val="0"/>
        </w:rPr>
        <w:t xml:space="preserve">Campo léxico asociativo: es un conjunto ilimitado de palabras que pueden ser de diferente clase gramatical, asociadas libremente con determinada idea o área del saber.  Ej. Calzado: cordoneras, plantilla, caminar, pies, cuero, incómodos…</w:t>
      </w:r>
    </w:p>
    <w:p w:rsidR="00000000" w:rsidDel="00000000" w:rsidP="00000000" w:rsidRDefault="00000000" w:rsidRPr="00000000" w14:paraId="00000021">
      <w:pPr>
        <w:numPr>
          <w:ilvl w:val="0"/>
          <w:numId w:val="4"/>
        </w:numPr>
        <w:spacing w:before="0" w:beforeAutospacing="0"/>
        <w:ind w:left="720" w:hanging="360"/>
        <w:rPr>
          <w:u w:val="none"/>
        </w:rPr>
      </w:pPr>
      <w:r w:rsidDel="00000000" w:rsidR="00000000" w:rsidRPr="00000000">
        <w:rPr>
          <w:rtl w:val="0"/>
        </w:rPr>
        <w:t xml:space="preserve">Familia de palabras: palabras que tienen un mismo lexema o raíz. Ej. Boca: bocado, bocadillo, desembocadura, bocazas..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before="0" w:lineRule="auto"/>
        <w:rPr/>
      </w:pPr>
      <w:r w:rsidDel="00000000" w:rsidR="00000000" w:rsidRPr="00000000">
        <w:rPr>
          <w:rtl w:val="0"/>
        </w:rPr>
      </w:r>
    </w:p>
    <w:p w:rsidR="00000000" w:rsidDel="00000000" w:rsidP="00000000" w:rsidRDefault="00000000" w:rsidRPr="00000000" w14:paraId="00000024">
      <w:pPr>
        <w:pStyle w:val="Heading1"/>
        <w:rPr/>
      </w:pPr>
      <w:bookmarkStart w:colFirst="0" w:colLast="0" w:name="_heading=h.8zjsp5n6s6uc" w:id="3"/>
      <w:bookmarkEnd w:id="3"/>
      <w:r w:rsidDel="00000000" w:rsidR="00000000" w:rsidRPr="00000000">
        <w:rPr>
          <w:rtl w:val="0"/>
        </w:rPr>
        <w:t xml:space="preserve">Material de estudio. Breves apuntes sobre la cohesión</w:t>
      </w:r>
    </w:p>
    <w:p w:rsidR="00000000" w:rsidDel="00000000" w:rsidP="00000000" w:rsidRDefault="00000000" w:rsidRPr="00000000" w14:paraId="00000025">
      <w:pPr>
        <w:rPr/>
      </w:pPr>
      <w:r w:rsidDel="00000000" w:rsidR="00000000" w:rsidRPr="00000000">
        <w:rPr>
          <w:rtl w:val="0"/>
        </w:rPr>
        <w:t xml:space="preserve">Es la propiedad que hace que las oraciones del texto estén conectadas entre sí. Los mecanismos son los siguientes:</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Sustituir una palabra por un sinónimo. </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Elipsis: eliminar una palabra para evitar su repetición. </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Palabras del mismo campo léxico-asociativo: por ejemplo, el de las plantas es el siguiente: flor, árbol, vegetales, huerto, agricultura….</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Conectores textuales. Son palabras que sirven para unir oraciones: y, además, también, sin embargo, no obstante, por tanto, en conclusión, en primer lugar, en segundo lugar, por un lado, por otro lado, en mi opinión…</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Relaciones semánticas entre palabras: sinonimia, antonimia, hiperonimia…</w:t>
      </w:r>
      <w:r w:rsidDel="00000000" w:rsidR="00000000" w:rsidRPr="00000000">
        <w:br w:type="page"/>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Nombre:                                                                                                          Curso:</w:t>
      </w:r>
    </w:p>
    <w:p w:rsidR="00000000" w:rsidDel="00000000" w:rsidP="00000000" w:rsidRDefault="00000000" w:rsidRPr="00000000" w14:paraId="0000002C">
      <w:pPr>
        <w:pStyle w:val="Heading1"/>
        <w:rPr/>
      </w:pPr>
      <w:bookmarkStart w:colFirst="0" w:colLast="0" w:name="_heading=h.l7caj8g3969j" w:id="4"/>
      <w:bookmarkEnd w:id="4"/>
      <w:r w:rsidDel="00000000" w:rsidR="00000000" w:rsidRPr="00000000">
        <w:rPr>
          <w:rtl w:val="0"/>
        </w:rPr>
        <w:t xml:space="preserve"> Lista de cotejo</w:t>
      </w:r>
    </w:p>
    <w:p w:rsidR="00000000" w:rsidDel="00000000" w:rsidP="00000000" w:rsidRDefault="00000000" w:rsidRPr="00000000" w14:paraId="0000002D">
      <w:pPr>
        <w:rPr/>
      </w:pPr>
      <w:r w:rsidDel="00000000" w:rsidR="00000000" w:rsidRPr="00000000">
        <w:rPr>
          <w:rtl w:val="0"/>
        </w:rPr>
        <w:t xml:space="preserve">Aquí tienes una lista de cotejo o checklist que te servirá como mecanismo de autoevaluación para realizar la tarea final.  Una lista de cotejo es un instrumento de evaluación y control estructurado en forma de tabla que detalla una secuencia de tareas que debes realizar, acciones a realizar y criterios que va a tener en cuenta tu profesor a la hora de evaluarte. </w:t>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0"/>
        <w:gridCol w:w="4530"/>
        <w:gridCol w:w="510"/>
        <w:gridCol w:w="615"/>
        <w:gridCol w:w="2325"/>
        <w:tblGridChange w:id="0">
          <w:tblGrid>
            <w:gridCol w:w="1650"/>
            <w:gridCol w:w="4530"/>
            <w:gridCol w:w="510"/>
            <w:gridCol w:w="615"/>
            <w:gridCol w:w="2325"/>
          </w:tblGrid>
        </w:tblGridChange>
      </w:tblGrid>
      <w:tr>
        <w:trPr>
          <w:cantSplit w:val="0"/>
          <w:trHeight w:val="611.8505859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0" w:before="0" w:line="276" w:lineRule="auto"/>
              <w:jc w:val="left"/>
              <w:rPr/>
            </w:pPr>
            <w:r w:rsidDel="00000000" w:rsidR="00000000" w:rsidRPr="00000000">
              <w:rPr>
                <w:b w:val="1"/>
                <w:bCs w:val="1"/>
                <w:rtl w:val="0"/>
              </w:rPr>
              <w:t xml:space="preserve">FASE DE TRABAJO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0" w:before="0" w:line="276" w:lineRule="auto"/>
              <w:jc w:val="left"/>
              <w:rPr/>
            </w:pPr>
            <w:r w:rsidDel="00000000" w:rsidR="00000000" w:rsidRPr="00000000">
              <w:rPr>
                <w:b w:val="1"/>
                <w:bCs w:val="1"/>
                <w:rtl w:val="0"/>
              </w:rPr>
              <w:t xml:space="preserve">INDICADOR DE LOGRO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276" w:lineRule="auto"/>
              <w:jc w:val="left"/>
              <w:rPr/>
            </w:pPr>
            <w:r w:rsidDel="00000000" w:rsidR="00000000" w:rsidRPr="00000000">
              <w:rPr>
                <w:b w:val="1"/>
                <w:bCs w:val="1"/>
                <w:rtl w:val="0"/>
              </w:rPr>
              <w:t xml:space="preserve">SÍ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276" w:lineRule="auto"/>
              <w:jc w:val="left"/>
              <w:rPr/>
            </w:pPr>
            <w:r w:rsidDel="00000000" w:rsidR="00000000" w:rsidRPr="00000000">
              <w:rPr>
                <w:b w:val="1"/>
                <w:bCs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276" w:lineRule="auto"/>
              <w:jc w:val="left"/>
              <w:rPr/>
            </w:pPr>
            <w:r w:rsidDel="00000000" w:rsidR="00000000" w:rsidRPr="00000000">
              <w:rPr>
                <w:b w:val="1"/>
                <w:bCs w:val="1"/>
                <w:rtl w:val="0"/>
              </w:rPr>
              <w:t xml:space="preserve">OBSERVACIONES </w:t>
            </w:r>
            <w:r w:rsidDel="00000000" w:rsidR="00000000" w:rsidRPr="00000000">
              <w:rPr>
                <w:rtl w:val="0"/>
              </w:rPr>
            </w:r>
          </w:p>
        </w:tc>
      </w:tr>
      <w:tr>
        <w:trPr>
          <w:cantSplit w:val="0"/>
          <w:trHeight w:val="551.85058593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276" w:lineRule="auto"/>
              <w:jc w:val="left"/>
              <w:rPr>
                <w:b w:val="1"/>
                <w:bCs w:val="1"/>
              </w:rPr>
            </w:pPr>
            <w:r w:rsidDel="00000000" w:rsidR="00000000" w:rsidRPr="00000000">
              <w:rPr>
                <w:b w:val="1"/>
                <w:bCs w:val="1"/>
                <w:rtl w:val="0"/>
              </w:rPr>
              <w:t xml:space="preserve">1. PLANIFI-</w:t>
            </w:r>
          </w:p>
          <w:p w:rsidR="00000000" w:rsidDel="00000000" w:rsidP="00000000" w:rsidRDefault="00000000" w:rsidRPr="00000000" w14:paraId="00000034">
            <w:pPr>
              <w:spacing w:after="0" w:before="0" w:line="276" w:lineRule="auto"/>
              <w:jc w:val="left"/>
              <w:rPr/>
            </w:pPr>
            <w:r w:rsidDel="00000000" w:rsidR="00000000" w:rsidRPr="00000000">
              <w:rPr>
                <w:b w:val="1"/>
                <w:bCs w:val="1"/>
                <w:rtl w:val="0"/>
              </w:rPr>
              <w:t xml:space="preserve">CACIÓN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276" w:lineRule="auto"/>
              <w:jc w:val="left"/>
              <w:rPr/>
            </w:pPr>
            <w:r w:rsidDel="00000000" w:rsidR="00000000" w:rsidRPr="00000000">
              <w:rPr>
                <w:rtl w:val="0"/>
              </w:rPr>
              <w:t xml:space="preserve">He realizado un esquema previo con los datos reales que quiero comunicar.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276" w:lineRule="auto"/>
              <w:jc w:val="left"/>
              <w:rPr/>
            </w:pPr>
            <w:r w:rsidDel="00000000" w:rsidR="00000000" w:rsidRPr="00000000">
              <w:rPr>
                <w:rtl w:val="0"/>
              </w:rPr>
            </w:r>
          </w:p>
        </w:tc>
      </w:tr>
      <w:tr>
        <w:trPr>
          <w:cantSplit w:val="0"/>
          <w:trHeight w:val="1380.814597449896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24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276" w:lineRule="auto"/>
              <w:jc w:val="left"/>
              <w:rPr/>
            </w:pPr>
            <w:r w:rsidDel="00000000" w:rsidR="00000000" w:rsidRPr="00000000">
              <w:rPr>
                <w:rtl w:val="0"/>
              </w:rPr>
              <w:t xml:space="preserve">He identificado al menos tres grupos de ideas para sustituirlas por </w:t>
            </w:r>
            <w:r w:rsidDel="00000000" w:rsidR="00000000" w:rsidRPr="00000000">
              <w:rPr>
                <w:b w:val="1"/>
                <w:bCs w:val="1"/>
                <w:rtl w:val="0"/>
              </w:rPr>
              <w:t xml:space="preserve">hiperónimos</w:t>
            </w:r>
            <w:r w:rsidDel="00000000" w:rsidR="00000000" w:rsidRPr="00000000">
              <w:rPr>
                <w:rtl w:val="0"/>
              </w:rPr>
              <w:t xml:space="preserve"> (ej. en lugar de "médicos y enfermeros", he usado "personal facultativo").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276" w:lineRule="auto"/>
              <w:jc w:val="left"/>
              <w:rPr/>
            </w:pPr>
            <w:r w:rsidDel="00000000" w:rsidR="00000000" w:rsidRPr="00000000">
              <w:rPr>
                <w:rtl w:val="0"/>
              </w:rPr>
            </w:r>
          </w:p>
        </w:tc>
      </w:tr>
      <w:tr>
        <w:trPr>
          <w:cantSplit w:val="0"/>
          <w:trHeight w:val="91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276" w:lineRule="auto"/>
              <w:jc w:val="left"/>
              <w:rPr/>
            </w:pPr>
            <w:r w:rsidDel="00000000" w:rsidR="00000000" w:rsidRPr="00000000">
              <w:rPr>
                <w:b w:val="1"/>
                <w:bCs w:val="1"/>
                <w:rtl w:val="0"/>
              </w:rPr>
              <w:t xml:space="preserve">2. COHESIÓN Y LÉXICO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276" w:lineRule="auto"/>
              <w:jc w:val="left"/>
              <w:rPr/>
            </w:pPr>
            <w:r w:rsidDel="00000000" w:rsidR="00000000" w:rsidRPr="00000000">
              <w:rPr>
                <w:rtl w:val="0"/>
              </w:rPr>
              <w:t xml:space="preserve">He utilizado palabras del </w:t>
            </w:r>
            <w:r w:rsidDel="00000000" w:rsidR="00000000" w:rsidRPr="00000000">
              <w:rPr>
                <w:b w:val="1"/>
                <w:bCs w:val="1"/>
                <w:rtl w:val="0"/>
              </w:rPr>
              <w:t xml:space="preserve">campo léxico de la sanidad</w:t>
            </w:r>
            <w:r w:rsidDel="00000000" w:rsidR="00000000" w:rsidRPr="00000000">
              <w:rPr>
                <w:rtl w:val="0"/>
              </w:rPr>
              <w:t xml:space="preserve"> (protocolo, diagnóstico, salubridad, prevención,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276" w:lineRule="auto"/>
              <w:jc w:val="left"/>
              <w:rPr/>
            </w:pPr>
            <w:r w:rsidDel="00000000" w:rsidR="00000000" w:rsidRPr="00000000">
              <w:rPr>
                <w:rtl w:val="0"/>
              </w:rPr>
            </w:r>
          </w:p>
        </w:tc>
      </w:tr>
      <w:tr>
        <w:trPr>
          <w:cantSplit w:val="0"/>
          <w:trHeight w:val="7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24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276" w:lineRule="auto"/>
              <w:jc w:val="left"/>
              <w:rPr/>
            </w:pPr>
            <w:r w:rsidDel="00000000" w:rsidR="00000000" w:rsidRPr="00000000">
              <w:rPr>
                <w:rtl w:val="0"/>
              </w:rPr>
              <w:t xml:space="preserve">He empleado </w:t>
            </w:r>
            <w:r w:rsidDel="00000000" w:rsidR="00000000" w:rsidRPr="00000000">
              <w:rPr>
                <w:b w:val="1"/>
                <w:bCs w:val="1"/>
                <w:rtl w:val="0"/>
              </w:rPr>
              <w:t xml:space="preserve">sinónimos</w:t>
            </w:r>
            <w:r w:rsidDel="00000000" w:rsidR="00000000" w:rsidRPr="00000000">
              <w:rPr>
                <w:rtl w:val="0"/>
              </w:rPr>
              <w:t xml:space="preserve"> para evitar repetir las mismas palabras y enriquecer el texto.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276" w:lineRule="auto"/>
              <w:jc w:val="left"/>
              <w:rPr/>
            </w:pPr>
            <w:r w:rsidDel="00000000" w:rsidR="00000000" w:rsidRPr="00000000">
              <w:rPr>
                <w:rtl w:val="0"/>
              </w:rPr>
            </w:r>
          </w:p>
        </w:tc>
      </w:tr>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276" w:lineRule="auto"/>
              <w:jc w:val="left"/>
              <w:rPr/>
            </w:pPr>
            <w:r w:rsidDel="00000000" w:rsidR="00000000" w:rsidRPr="00000000">
              <w:rPr>
                <w:b w:val="1"/>
                <w:bCs w:val="1"/>
                <w:rtl w:val="0"/>
              </w:rPr>
              <w:t xml:space="preserve">3. TONO Y RIGOR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276" w:lineRule="auto"/>
              <w:jc w:val="left"/>
              <w:rPr/>
            </w:pPr>
            <w:r w:rsidDel="00000000" w:rsidR="00000000" w:rsidRPr="00000000">
              <w:rPr>
                <w:rtl w:val="0"/>
              </w:rPr>
              <w:t xml:space="preserve">El tono del texto es formal, objetivo y transmite seguridad (evito opiniones personales o lenguaje coloquial).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276" w:lineRule="auto"/>
              <w:jc w:val="left"/>
              <w:rPr/>
            </w:pPr>
            <w:r w:rsidDel="00000000" w:rsidR="00000000" w:rsidRPr="00000000">
              <w:rPr>
                <w:rtl w:val="0"/>
              </w:rPr>
            </w:r>
          </w:p>
        </w:tc>
      </w:tr>
      <w:tr>
        <w:trPr>
          <w:cantSplit w:val="0"/>
          <w:trHeight w:val="497.77587890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276" w:lineRule="auto"/>
              <w:jc w:val="left"/>
              <w:rPr/>
            </w:pPr>
            <w:r w:rsidDel="00000000" w:rsidR="00000000" w:rsidRPr="00000000">
              <w:rPr>
                <w:rtl w:val="0"/>
              </w:rPr>
              <w:t xml:space="preserve">El comunicado es breve, directo y no contiene información irrelevante que pueda confundir al lector.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276" w:lineRule="auto"/>
              <w:jc w:val="left"/>
              <w:rPr/>
            </w:pPr>
            <w:r w:rsidDel="00000000" w:rsidR="00000000" w:rsidRPr="00000000">
              <w:rPr>
                <w:rtl w:val="0"/>
              </w:rPr>
            </w:r>
          </w:p>
        </w:tc>
      </w:tr>
      <w:tr>
        <w:trPr>
          <w:cantSplit w:val="0"/>
          <w:trHeight w:val="931.5344170469729"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276" w:lineRule="auto"/>
              <w:jc w:val="left"/>
              <w:rPr/>
            </w:pPr>
            <w:r w:rsidDel="00000000" w:rsidR="00000000" w:rsidRPr="00000000">
              <w:rPr>
                <w:b w:val="1"/>
                <w:bCs w:val="1"/>
                <w:rtl w:val="0"/>
              </w:rPr>
              <w:t xml:space="preserve">4. REVISIÓN FINAL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276" w:lineRule="auto"/>
              <w:jc w:val="left"/>
              <w:rPr/>
            </w:pPr>
            <w:r w:rsidDel="00000000" w:rsidR="00000000" w:rsidRPr="00000000">
              <w:rPr>
                <w:rtl w:val="0"/>
              </w:rPr>
              <w:t xml:space="preserve">He revisado la ortografía y la puntuación para asegurar la total legibilidad del documento.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276" w:lineRule="auto"/>
              <w:jc w:val="left"/>
              <w:rPr/>
            </w:pPr>
            <w:r w:rsidDel="00000000" w:rsidR="00000000" w:rsidRPr="00000000">
              <w:rPr>
                <w:rtl w:val="0"/>
              </w:rPr>
            </w:r>
          </w:p>
        </w:tc>
      </w:tr>
      <w:tr>
        <w:trPr>
          <w:cantSplit w:val="0"/>
          <w:trHeight w:val="4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24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276" w:lineRule="auto"/>
              <w:jc w:val="left"/>
              <w:rPr/>
            </w:pPr>
            <w:r w:rsidDel="00000000" w:rsidR="00000000" w:rsidRPr="00000000">
              <w:rPr>
                <w:rtl w:val="0"/>
              </w:rPr>
              <w:t xml:space="preserve">El texto final desmiente el bulo de forma clara y ofrece una versión oficial irrebatible.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276"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before="0" w:line="276"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before="0" w:line="276" w:lineRule="auto"/>
              <w:jc w:val="left"/>
              <w:rPr/>
            </w:pPr>
            <w:r w:rsidDel="00000000" w:rsidR="00000000" w:rsidRPr="00000000">
              <w:rPr>
                <w:rtl w:val="0"/>
              </w:rPr>
            </w:r>
          </w:p>
        </w:tc>
      </w:tr>
    </w:tbl>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2"/>
        <w:rPr/>
      </w:pPr>
      <w:bookmarkStart w:colFirst="0" w:colLast="0" w:name="_heading=h.xbiuh745bm9c" w:id="5"/>
      <w:bookmarkEnd w:id="5"/>
      <w:r w:rsidDel="00000000" w:rsidR="00000000" w:rsidRPr="00000000">
        <w:rPr>
          <w:rtl w:val="0"/>
        </w:rPr>
        <w:t xml:space="preserve">Contra informe profesional</w:t>
      </w:r>
    </w:p>
    <w:p w:rsidR="00000000" w:rsidDel="00000000" w:rsidP="00000000" w:rsidRDefault="00000000" w:rsidRPr="00000000" w14:paraId="0000005F">
      <w:pPr>
        <w:rPr/>
      </w:pPr>
      <w:r w:rsidDel="00000000" w:rsidR="00000000" w:rsidRPr="00000000">
        <w:rPr>
          <w:i w:val="1"/>
          <w:iCs w:val="1"/>
          <w:color w:val="999999"/>
          <w:rtl w:val="0"/>
        </w:rPr>
        <w:t xml:space="preserve">Redacta aquí tu tarea final…</w:t>
      </w:r>
      <w:r w:rsidDel="00000000" w:rsidR="00000000" w:rsidRPr="00000000">
        <w:rPr>
          <w:rtl w:val="0"/>
        </w:rPr>
      </w:r>
    </w:p>
    <w:p w:rsidR="00000000" w:rsidDel="00000000" w:rsidP="00000000" w:rsidRDefault="00000000" w:rsidRPr="00000000" w14:paraId="00000060">
      <w:pPr>
        <w:spacing w:line="276" w:lineRule="auto"/>
        <w:ind w:left="0" w:firstLine="0"/>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before="0" w:lineRule="auto"/>
      <w:rPr/>
    </w:pPr>
    <w:r w:rsidDel="00000000" w:rsidR="00000000" w:rsidRPr="00000000">
      <w:rPr>
        <w:rtl w:val="0"/>
      </w:rPr>
    </w:r>
  </w:p>
  <w:p w:rsidR="00000000" w:rsidDel="00000000" w:rsidP="00000000" w:rsidRDefault="00000000" w:rsidRPr="00000000" w14:paraId="000000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19191" w:space="0" w:sz="8" w:val="single"/>
      </w:pBdr>
      <w:spacing w:after="240" w:before="240" w:line="276" w:lineRule="auto"/>
      <w:jc w:val="both"/>
    </w:pPr>
    <w:rPr>
      <w:rFonts w:ascii="Arial" w:cs="Arial" w:eastAsia="Arial" w:hAnsi="Arial"/>
      <w:b w:val="1"/>
      <w:bCs w:val="1"/>
      <w:sz w:val="22"/>
      <w:szCs w:val="22"/>
    </w:rPr>
  </w:style>
  <w:style w:type="paragraph" w:styleId="Heading2">
    <w:name w:val="heading 2"/>
    <w:basedOn w:val="Normal"/>
    <w:next w:val="Normal"/>
    <w:pPr>
      <w:keepNext w:val="1"/>
      <w:keepLines w:val="1"/>
      <w:pBdr>
        <w:bottom w:color="9fc5e8" w:space="0" w:sz="4" w:val="single"/>
      </w:pBdr>
      <w:spacing w:after="80" w:before="360" w:line="276" w:lineRule="auto"/>
    </w:pPr>
    <w:rPr>
      <w:rFonts w:ascii="Arial" w:cs="Arial" w:eastAsia="Arial" w:hAnsi="Arial"/>
      <w:b w:val="1"/>
      <w:bCs w:val="1"/>
      <w:color w:val="1c4587"/>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400" w:before="0" w:line="240" w:lineRule="auto"/>
      <w:jc w:val="center"/>
    </w:pPr>
    <w:rPr>
      <w:b w:val="1"/>
      <w:bCs w:val="1"/>
      <w:color w:val="073763"/>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Por omisión">
    <w:name w:val="Por omisión"/>
    <w:next w:val="Por omisión"/>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de-DE"/>
      <w14:textFill>
        <w14:solidFill>
          <w14:srgbClr w14:val="000000"/>
        </w14:solidFill>
      </w14:textFill>
      <w14:textOutline>
        <w14:noFill/>
      </w14:textOutline>
    </w:rPr>
  </w:style>
  <w:style w:type="character" w:styleId="Ninguno">
    <w:name w:val="Ninguno"/>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numbering" w:styleId="Viñeta">
    <w:name w:val="Viñeta"/>
    <w:pPr>
      <w:numPr>
        <w:numId w:val="1"/>
      </w:numPr>
    </w:p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jc w:val="center"/>
    </w:pPr>
    <w:rPr>
      <w:i w:val="1"/>
      <w:iCs w:val="1"/>
      <w:color w:val="3d85c6"/>
      <w:sz w:val="36"/>
      <w:szCs w:val="3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nlGCB/XuFytL85a2AWcVARh2Q==">CgMxLjAyDmguMTJzN2I3aXBjOHhmMg5oLjFybjV3b281dTV5ejIOaC41ZmZidzdidm9paTcyDmguOHpqc3A1bjZzNnVjMg5oLmw3Y2FqOGczOTY5ajIOaC54Yml1aDc0NWJtOWM4AHIhMTRGN2JFNXd6TkhaZHBUMTUxMFVtTENUMm1GS0JPM25j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